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86" w:rsidRPr="002A6508" w:rsidRDefault="005F1C86" w:rsidP="005F1C86">
      <w:pPr>
        <w:rPr>
          <w:lang w:val="uk-UA"/>
        </w:rPr>
      </w:pP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-571500</wp:posOffset>
            </wp:positionV>
            <wp:extent cx="571500" cy="7264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342900" cy="571500"/>
                <wp:effectExtent l="381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86" w:rsidRPr="008E51F4" w:rsidRDefault="005F1C86" w:rsidP="005F1C86">
                            <w:pPr>
                              <w:rPr>
                                <w:lang w:val="uk-UA"/>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6pt;margin-top:0;width:2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" filled="f" stroked="f">
                <v:textbox style="layout-flow:vertical;mso-layout-flow-alt:bottom-to-top">
                  <w:txbxContent>
                    <w:p w:rsidR="005F1C86" w:rsidRPr="008E51F4" w:rsidRDefault="005F1C86" w:rsidP="005F1C86">
                      <w:pPr>
                        <w:rPr>
                          <w:lang w:val="uk-UA"/>
                        </w:rPr>
                      </w:pPr>
                    </w:p>
                  </w:txbxContent>
                </v:textbox>
              </v:shape>
            </w:pict>
          </mc:Fallback>
        </mc:AlternateContent>
      </w:r>
    </w:p>
    <w:p w:rsidR="005F1C86" w:rsidRPr="001A5E7B" w:rsidRDefault="005F1C86" w:rsidP="005F1C86">
      <w:pPr>
        <w:pStyle w:val="a3"/>
        <w:rPr>
          <w:rFonts w:ascii="Times New Roman" w:hAnsi="Times New Roman"/>
          <w:b/>
          <w:sz w:val="28"/>
          <w:szCs w:val="28"/>
        </w:rPr>
      </w:pPr>
      <w:r w:rsidRPr="001A5E7B">
        <w:rPr>
          <w:rFonts w:ascii="Times New Roman" w:hAnsi="Times New Roman"/>
          <w:b/>
          <w:sz w:val="28"/>
          <w:szCs w:val="28"/>
        </w:rPr>
        <w:t>Сумська  обласна  державна  адміністрація</w:t>
      </w:r>
    </w:p>
    <w:p w:rsidR="005F1C86" w:rsidRPr="005F1C86" w:rsidRDefault="005F1C86" w:rsidP="005F1C86">
      <w:pPr>
        <w:pStyle w:val="3"/>
        <w:spacing w:before="0" w:after="0"/>
        <w:jc w:val="center"/>
        <w:rPr>
          <w:rFonts w:ascii="Times New Roman" w:hAnsi="Times New Roman" w:cs="Times New Roman"/>
          <w:sz w:val="28"/>
          <w:szCs w:val="28"/>
        </w:rPr>
      </w:pPr>
      <w:r>
        <w:rPr>
          <w:rFonts w:ascii="Times New Roman" w:hAnsi="Times New Roman" w:cs="Times New Roman"/>
          <w:sz w:val="28"/>
          <w:szCs w:val="28"/>
          <w:lang w:val="uk-UA"/>
        </w:rPr>
        <w:t xml:space="preserve">ДЕПАРТАМЕНТ </w:t>
      </w:r>
      <w:r w:rsidRPr="001A5E7B">
        <w:rPr>
          <w:rFonts w:ascii="Times New Roman" w:hAnsi="Times New Roman" w:cs="Times New Roman"/>
          <w:sz w:val="28"/>
          <w:szCs w:val="28"/>
        </w:rPr>
        <w:t>ОСВІТИ І НАУКИ</w:t>
      </w:r>
    </w:p>
    <w:p w:rsidR="005F1C86" w:rsidRPr="005F1C86" w:rsidRDefault="005F1C86" w:rsidP="005F1C86"/>
    <w:p w:rsidR="005F1C86" w:rsidRDefault="005F1C86" w:rsidP="005F1C86">
      <w:pPr>
        <w:jc w:val="center"/>
        <w:rPr>
          <w:b/>
          <w:snapToGrid w:val="0"/>
          <w:color w:val="000000"/>
          <w:sz w:val="28"/>
          <w:szCs w:val="28"/>
          <w:lang w:val="uk-UA"/>
        </w:rPr>
      </w:pPr>
      <w:r>
        <w:rPr>
          <w:b/>
          <w:snapToGrid w:val="0"/>
          <w:color w:val="000000"/>
          <w:sz w:val="28"/>
          <w:szCs w:val="28"/>
          <w:lang w:val="uk-UA"/>
        </w:rPr>
        <w:t>НАКАЗ</w:t>
      </w:r>
    </w:p>
    <w:p w:rsidR="005F1C86" w:rsidRPr="001C49BE" w:rsidRDefault="005F1C86" w:rsidP="005F1C86">
      <w:pPr>
        <w:rPr>
          <w:rFonts w:ascii="Tahoma" w:hAnsi="Tahoma"/>
          <w:iCs/>
          <w:sz w:val="20"/>
          <w:u w:val="single"/>
          <w:lang w:val="uk-UA"/>
        </w:rPr>
      </w:pPr>
    </w:p>
    <w:tbl>
      <w:tblPr>
        <w:tblW w:w="0" w:type="auto"/>
        <w:tblLook w:val="04A0" w:firstRow="1" w:lastRow="0" w:firstColumn="1" w:lastColumn="0" w:noHBand="0" w:noVBand="1"/>
      </w:tblPr>
      <w:tblGrid>
        <w:gridCol w:w="3284"/>
        <w:gridCol w:w="3285"/>
        <w:gridCol w:w="3285"/>
      </w:tblGrid>
      <w:tr w:rsidR="005F1C86" w:rsidRPr="00B5045A" w:rsidTr="00005ECE">
        <w:tc>
          <w:tcPr>
            <w:tcW w:w="3284" w:type="dxa"/>
          </w:tcPr>
          <w:p w:rsidR="005F1C86" w:rsidRPr="00B5045A" w:rsidRDefault="00B5045A" w:rsidP="00005ECE">
            <w:pPr>
              <w:rPr>
                <w:iCs/>
                <w:color w:val="000000"/>
                <w:sz w:val="28"/>
                <w:szCs w:val="28"/>
              </w:rPr>
            </w:pPr>
            <w:r w:rsidRPr="00B5045A">
              <w:rPr>
                <w:iCs/>
                <w:color w:val="000000"/>
                <w:sz w:val="28"/>
                <w:szCs w:val="28"/>
                <w:lang w:val="uk-UA"/>
              </w:rPr>
              <w:t>17.01.2022</w:t>
            </w:r>
          </w:p>
        </w:tc>
        <w:tc>
          <w:tcPr>
            <w:tcW w:w="3285" w:type="dxa"/>
          </w:tcPr>
          <w:p w:rsidR="005F1C86" w:rsidRPr="00B5045A" w:rsidRDefault="005F1C86" w:rsidP="00005ECE">
            <w:pPr>
              <w:jc w:val="center"/>
              <w:rPr>
                <w:rFonts w:ascii="Tahoma" w:hAnsi="Tahoma"/>
                <w:iCs/>
                <w:sz w:val="28"/>
                <w:szCs w:val="28"/>
              </w:rPr>
            </w:pPr>
            <w:r w:rsidRPr="00B5045A">
              <w:rPr>
                <w:snapToGrid w:val="0"/>
                <w:color w:val="000000"/>
                <w:sz w:val="28"/>
                <w:szCs w:val="28"/>
              </w:rPr>
              <w:t xml:space="preserve">м. </w:t>
            </w:r>
            <w:proofErr w:type="spellStart"/>
            <w:r w:rsidRPr="00B5045A">
              <w:rPr>
                <w:snapToGrid w:val="0"/>
                <w:color w:val="000000"/>
                <w:sz w:val="28"/>
                <w:szCs w:val="28"/>
              </w:rPr>
              <w:t>Суми</w:t>
            </w:r>
            <w:proofErr w:type="spellEnd"/>
          </w:p>
        </w:tc>
        <w:tc>
          <w:tcPr>
            <w:tcW w:w="3285" w:type="dxa"/>
          </w:tcPr>
          <w:p w:rsidR="005F1C86" w:rsidRPr="00B5045A" w:rsidRDefault="005F1C86" w:rsidP="00B5045A">
            <w:pPr>
              <w:ind w:right="-1"/>
              <w:jc w:val="right"/>
              <w:rPr>
                <w:rFonts w:ascii="Tahoma" w:hAnsi="Tahoma"/>
                <w:iCs/>
                <w:sz w:val="28"/>
                <w:szCs w:val="28"/>
                <w:lang w:val="uk-UA"/>
              </w:rPr>
            </w:pPr>
            <w:r w:rsidRPr="00B5045A">
              <w:rPr>
                <w:sz w:val="28"/>
                <w:szCs w:val="28"/>
              </w:rPr>
              <w:t>№</w:t>
            </w:r>
            <w:r w:rsidRPr="00B5045A">
              <w:rPr>
                <w:sz w:val="28"/>
                <w:szCs w:val="28"/>
                <w:lang w:val="uk-UA"/>
              </w:rPr>
              <w:t xml:space="preserve"> </w:t>
            </w:r>
            <w:r w:rsidR="00B5045A" w:rsidRPr="00B5045A">
              <w:rPr>
                <w:sz w:val="28"/>
                <w:szCs w:val="28"/>
                <w:lang w:val="uk-UA"/>
              </w:rPr>
              <w:t>14-ОД</w:t>
            </w:r>
            <w:r w:rsidRPr="00B5045A">
              <w:rPr>
                <w:sz w:val="28"/>
                <w:szCs w:val="28"/>
                <w:lang w:val="en-US"/>
              </w:rPr>
              <w:t> </w:t>
            </w:r>
          </w:p>
        </w:tc>
      </w:tr>
    </w:tbl>
    <w:p w:rsidR="005F1C86" w:rsidRDefault="005F1C86" w:rsidP="005F1C86">
      <w:pPr>
        <w:rPr>
          <w:lang w:val="uk-UA"/>
        </w:rPr>
      </w:pPr>
      <w:bookmarkStart w:id="0" w:name="_GoBack"/>
      <w:bookmarkEnd w:id="0"/>
    </w:p>
    <w:p w:rsidR="005F1C86" w:rsidRDefault="005F1C86" w:rsidP="005F1C86">
      <w:pPr>
        <w:pStyle w:val="Default"/>
        <w:rPr>
          <w:b/>
          <w:bCs/>
          <w:sz w:val="28"/>
          <w:szCs w:val="28"/>
          <w:lang w:val="uk-UA"/>
        </w:rPr>
      </w:pPr>
      <w:r>
        <w:rPr>
          <w:b/>
          <w:bCs/>
          <w:sz w:val="28"/>
          <w:szCs w:val="28"/>
          <w:lang w:val="uk-UA"/>
        </w:rPr>
        <w:t xml:space="preserve">Про затвердження </w:t>
      </w:r>
    </w:p>
    <w:p w:rsidR="005F1C86" w:rsidRDefault="005F1C86" w:rsidP="005F1C86">
      <w:pPr>
        <w:pStyle w:val="Default"/>
        <w:rPr>
          <w:b/>
          <w:bCs/>
          <w:sz w:val="28"/>
          <w:szCs w:val="28"/>
          <w:lang w:val="uk-UA"/>
        </w:rPr>
      </w:pPr>
      <w:r>
        <w:rPr>
          <w:b/>
          <w:bCs/>
          <w:sz w:val="28"/>
          <w:szCs w:val="28"/>
          <w:lang w:val="uk-UA"/>
        </w:rPr>
        <w:t xml:space="preserve">Положення про облікову </w:t>
      </w:r>
    </w:p>
    <w:p w:rsidR="005F1C86" w:rsidRPr="00556201" w:rsidRDefault="005F1C86" w:rsidP="005F1C86">
      <w:pPr>
        <w:pStyle w:val="Default"/>
        <w:rPr>
          <w:b/>
          <w:lang w:val="uk-UA"/>
        </w:rPr>
      </w:pPr>
      <w:r>
        <w:rPr>
          <w:b/>
          <w:bCs/>
          <w:sz w:val="28"/>
          <w:szCs w:val="28"/>
          <w:lang w:val="uk-UA"/>
        </w:rPr>
        <w:t>політику</w:t>
      </w:r>
    </w:p>
    <w:p w:rsidR="005F1C86" w:rsidRPr="00940FD7" w:rsidRDefault="005F1C86" w:rsidP="005F1C86">
      <w:pPr>
        <w:rPr>
          <w:sz w:val="28"/>
          <w:szCs w:val="28"/>
          <w:lang w:val="uk-UA"/>
        </w:rPr>
      </w:pPr>
    </w:p>
    <w:p w:rsidR="005F1C86" w:rsidRDefault="005F1C86" w:rsidP="005F1C86">
      <w:pPr>
        <w:ind w:firstLine="567"/>
        <w:jc w:val="both"/>
        <w:rPr>
          <w:sz w:val="28"/>
          <w:szCs w:val="28"/>
          <w:lang w:val="uk-UA"/>
        </w:rPr>
      </w:pPr>
      <w:r w:rsidRPr="0081713F">
        <w:rPr>
          <w:rStyle w:val="FontStyle11"/>
          <w:sz w:val="28"/>
          <w:szCs w:val="28"/>
          <w:lang w:val="uk-UA" w:eastAsia="uk-UA"/>
        </w:rPr>
        <w:t xml:space="preserve">Відповідно до </w:t>
      </w:r>
      <w:r w:rsidRPr="0081713F">
        <w:rPr>
          <w:sz w:val="28"/>
          <w:szCs w:val="28"/>
          <w:lang w:val="uk-UA"/>
        </w:rPr>
        <w:t xml:space="preserve"> </w:t>
      </w:r>
      <w:r>
        <w:rPr>
          <w:sz w:val="28"/>
          <w:szCs w:val="28"/>
          <w:lang w:val="uk-UA"/>
        </w:rPr>
        <w:t>статей 6,</w:t>
      </w:r>
      <w:r w:rsidRPr="00892A3F">
        <w:rPr>
          <w:sz w:val="28"/>
          <w:szCs w:val="28"/>
          <w:lang w:val="uk-UA"/>
        </w:rPr>
        <w:t xml:space="preserve"> </w:t>
      </w:r>
      <w:r>
        <w:rPr>
          <w:sz w:val="28"/>
          <w:szCs w:val="28"/>
          <w:lang w:val="uk-UA"/>
        </w:rPr>
        <w:t>39,</w:t>
      </w:r>
      <w:r w:rsidRPr="00892A3F">
        <w:rPr>
          <w:sz w:val="28"/>
          <w:szCs w:val="28"/>
          <w:lang w:val="uk-UA"/>
        </w:rPr>
        <w:t xml:space="preserve"> </w:t>
      </w:r>
      <w:r>
        <w:rPr>
          <w:sz w:val="28"/>
          <w:szCs w:val="28"/>
          <w:lang w:val="uk-UA"/>
        </w:rPr>
        <w:t>44 Закону України «Про місцеві державні адміністрації», Закону України «Про бухгалтерський облік та фінансову звітність України», типового положення про бухгалтерську службу бюджетної установи, затвердженого постановою Кабінету Міністрів України від 26 січня 2011 р. № 59, наказів Міністерства фінансів України від 24 грудня 2010 року    № 1629 «Про затвердження національних положень (стандартів) бухгалтерського обліку в державному секторі», зареєстрованого в Міністерстві юстиції</w:t>
      </w:r>
      <w:r>
        <w:rPr>
          <w:sz w:val="28"/>
          <w:szCs w:val="28"/>
          <w:lang w:val="en-US"/>
        </w:rPr>
        <w:t> </w:t>
      </w:r>
      <w:r>
        <w:rPr>
          <w:sz w:val="28"/>
          <w:szCs w:val="28"/>
          <w:lang w:val="uk-UA"/>
        </w:rPr>
        <w:t>України</w:t>
      </w:r>
      <w:r>
        <w:rPr>
          <w:sz w:val="28"/>
          <w:szCs w:val="28"/>
          <w:lang w:val="en-US"/>
        </w:rPr>
        <w:t> </w:t>
      </w:r>
      <w:r>
        <w:rPr>
          <w:sz w:val="28"/>
          <w:szCs w:val="28"/>
          <w:lang w:val="uk-UA"/>
        </w:rPr>
        <w:t>20</w:t>
      </w:r>
      <w:r>
        <w:rPr>
          <w:sz w:val="28"/>
          <w:szCs w:val="28"/>
          <w:lang w:val="en-US"/>
        </w:rPr>
        <w:t> </w:t>
      </w:r>
      <w:r>
        <w:rPr>
          <w:sz w:val="28"/>
          <w:szCs w:val="28"/>
          <w:lang w:val="uk-UA"/>
        </w:rPr>
        <w:t>січня</w:t>
      </w:r>
      <w:r>
        <w:rPr>
          <w:sz w:val="28"/>
          <w:szCs w:val="28"/>
          <w:lang w:val="en-US"/>
        </w:rPr>
        <w:t> </w:t>
      </w:r>
      <w:r>
        <w:rPr>
          <w:sz w:val="28"/>
          <w:szCs w:val="28"/>
          <w:lang w:val="uk-UA"/>
        </w:rPr>
        <w:t>2011</w:t>
      </w:r>
      <w:r>
        <w:rPr>
          <w:sz w:val="28"/>
          <w:szCs w:val="28"/>
          <w:lang w:val="en-US"/>
        </w:rPr>
        <w:t> </w:t>
      </w:r>
      <w:r>
        <w:rPr>
          <w:sz w:val="28"/>
          <w:szCs w:val="28"/>
          <w:lang w:val="uk-UA"/>
        </w:rPr>
        <w:t>року</w:t>
      </w:r>
      <w:r w:rsidRPr="00CD111B">
        <w:rPr>
          <w:sz w:val="28"/>
          <w:szCs w:val="28"/>
          <w:lang w:val="uk-UA"/>
        </w:rPr>
        <w:t xml:space="preserve"> </w:t>
      </w:r>
      <w:r>
        <w:rPr>
          <w:sz w:val="28"/>
          <w:szCs w:val="28"/>
          <w:lang w:val="uk-UA"/>
        </w:rPr>
        <w:t>№ 87/18825 та від 25 вересня 2015 року     № 840 «Про затвердження Змін до деяких Методичних рекомендацій з бухгалтерського обліку для суб’єктів державного сектору»</w:t>
      </w:r>
    </w:p>
    <w:p w:rsidR="005F1C86" w:rsidRDefault="005F1C86" w:rsidP="00D93FDE">
      <w:pPr>
        <w:jc w:val="both"/>
        <w:rPr>
          <w:sz w:val="28"/>
          <w:szCs w:val="28"/>
          <w:lang w:val="uk-UA" w:eastAsia="uk-UA"/>
        </w:rPr>
      </w:pPr>
      <w:r w:rsidRPr="00556201">
        <w:rPr>
          <w:rStyle w:val="FontStyle11"/>
          <w:b/>
          <w:sz w:val="28"/>
          <w:szCs w:val="28"/>
          <w:lang w:val="uk-UA" w:eastAsia="uk-UA"/>
        </w:rPr>
        <w:t>НАКАЗУЮ</w:t>
      </w:r>
      <w:r w:rsidRPr="0081713F">
        <w:rPr>
          <w:rStyle w:val="FontStyle11"/>
          <w:sz w:val="28"/>
          <w:szCs w:val="28"/>
          <w:lang w:val="uk-UA" w:eastAsia="uk-UA"/>
        </w:rPr>
        <w:t>:</w:t>
      </w:r>
    </w:p>
    <w:p w:rsidR="005F1C86" w:rsidRDefault="005F1C86" w:rsidP="005F1C86">
      <w:pPr>
        <w:ind w:firstLine="567"/>
        <w:jc w:val="both"/>
        <w:rPr>
          <w:sz w:val="28"/>
          <w:lang w:val="uk-UA"/>
        </w:rPr>
      </w:pPr>
      <w:r>
        <w:rPr>
          <w:sz w:val="28"/>
          <w:lang w:val="uk-UA"/>
        </w:rPr>
        <w:t>1. </w:t>
      </w:r>
      <w:r w:rsidRPr="001A79CD">
        <w:rPr>
          <w:sz w:val="28"/>
          <w:lang w:val="uk-UA"/>
        </w:rPr>
        <w:t>Затвердити Положення про облікову політику Департаменту освіти і науки Сумської обласної державної адміністрації (додається).</w:t>
      </w:r>
    </w:p>
    <w:p w:rsidR="005F1C86" w:rsidRPr="001A79CD" w:rsidRDefault="005F1C86" w:rsidP="005F1C86">
      <w:pPr>
        <w:ind w:firstLine="567"/>
        <w:jc w:val="both"/>
        <w:rPr>
          <w:sz w:val="28"/>
          <w:lang w:val="uk-UA"/>
        </w:rPr>
      </w:pPr>
      <w:r w:rsidRPr="001A79CD">
        <w:rPr>
          <w:sz w:val="28"/>
          <w:lang w:val="uk-UA"/>
        </w:rPr>
        <w:t>2.</w:t>
      </w:r>
      <w:r>
        <w:rPr>
          <w:sz w:val="28"/>
          <w:lang w:val="uk-UA"/>
        </w:rPr>
        <w:t> </w:t>
      </w:r>
      <w:r w:rsidRPr="001A79CD">
        <w:rPr>
          <w:sz w:val="28"/>
          <w:lang w:val="uk-UA"/>
        </w:rPr>
        <w:t>Затвердити графік зовнішнього та внутрішнього документообігу, графік документообігу первинних бухгалтерських документів Департаменту освіти і науки Сумської обласної державної адміністрації (додається).</w:t>
      </w:r>
    </w:p>
    <w:p w:rsidR="005F1C86" w:rsidRDefault="005F1C86" w:rsidP="005F1C86">
      <w:pPr>
        <w:ind w:firstLine="567"/>
        <w:jc w:val="both"/>
        <w:rPr>
          <w:sz w:val="28"/>
          <w:szCs w:val="28"/>
          <w:lang w:val="uk-UA"/>
        </w:rPr>
      </w:pPr>
      <w:r>
        <w:rPr>
          <w:sz w:val="28"/>
          <w:szCs w:val="28"/>
          <w:lang w:val="uk-UA"/>
        </w:rPr>
        <w:t>3. Центру фінансово-економічного моніторингу та технічного забезпечення освітніх закладів</w:t>
      </w:r>
      <w:r w:rsidRPr="0069766D">
        <w:rPr>
          <w:sz w:val="28"/>
          <w:szCs w:val="28"/>
          <w:lang w:val="uk-UA"/>
        </w:rPr>
        <w:t xml:space="preserve"> </w:t>
      </w:r>
      <w:r>
        <w:rPr>
          <w:sz w:val="28"/>
          <w:szCs w:val="28"/>
          <w:lang w:val="uk-UA"/>
        </w:rPr>
        <w:t xml:space="preserve">(Косяк В.П.) </w:t>
      </w:r>
      <w:r w:rsidRPr="0069766D">
        <w:rPr>
          <w:sz w:val="28"/>
          <w:szCs w:val="28"/>
          <w:lang w:val="uk-UA"/>
        </w:rPr>
        <w:t xml:space="preserve">довести норми облікової політики, передбачені </w:t>
      </w:r>
      <w:r>
        <w:rPr>
          <w:sz w:val="28"/>
          <w:szCs w:val="28"/>
          <w:lang w:val="uk-UA"/>
        </w:rPr>
        <w:t>Положенням</w:t>
      </w:r>
      <w:r w:rsidRPr="0069766D">
        <w:rPr>
          <w:sz w:val="28"/>
          <w:szCs w:val="28"/>
          <w:lang w:val="uk-UA"/>
        </w:rPr>
        <w:t xml:space="preserve">, </w:t>
      </w:r>
      <w:r>
        <w:rPr>
          <w:sz w:val="28"/>
          <w:szCs w:val="28"/>
          <w:lang w:val="uk-UA"/>
        </w:rPr>
        <w:t>до відома начальників відділів Департаменту, матеріально-відповідальних осіб, членів комісій</w:t>
      </w:r>
      <w:r w:rsidRPr="0069766D">
        <w:rPr>
          <w:sz w:val="28"/>
          <w:szCs w:val="28"/>
          <w:lang w:val="uk-UA"/>
        </w:rPr>
        <w:t xml:space="preserve"> та підвідомчих організацій.</w:t>
      </w:r>
    </w:p>
    <w:p w:rsidR="005F1C86" w:rsidRDefault="005F1C86" w:rsidP="005F1C86">
      <w:pPr>
        <w:ind w:firstLine="567"/>
        <w:jc w:val="both"/>
        <w:rPr>
          <w:sz w:val="28"/>
          <w:szCs w:val="28"/>
          <w:lang w:val="uk-UA"/>
        </w:rPr>
      </w:pPr>
      <w:r>
        <w:rPr>
          <w:sz w:val="28"/>
          <w:szCs w:val="28"/>
          <w:lang w:val="uk-UA"/>
        </w:rPr>
        <w:t>4. Визнати таким, що втратив чинність, наказ «Про облікову політику та графік документообігу Департаменту освіти і науки» від 25.01.2017 № 34-ОД.</w:t>
      </w:r>
    </w:p>
    <w:p w:rsidR="005F1C86" w:rsidRPr="0069766D" w:rsidRDefault="005F1C86" w:rsidP="005F1C86">
      <w:pPr>
        <w:ind w:firstLine="567"/>
        <w:jc w:val="both"/>
        <w:rPr>
          <w:sz w:val="28"/>
          <w:szCs w:val="28"/>
          <w:lang w:val="uk-UA"/>
        </w:rPr>
      </w:pPr>
      <w:r>
        <w:rPr>
          <w:sz w:val="28"/>
          <w:szCs w:val="28"/>
          <w:lang w:val="uk-UA"/>
        </w:rPr>
        <w:t>5. Цей наказ застосовується з 01.01.2022.</w:t>
      </w:r>
    </w:p>
    <w:p w:rsidR="005F1C86" w:rsidRPr="0069766D" w:rsidRDefault="005F1C86" w:rsidP="005F1C86">
      <w:pPr>
        <w:ind w:firstLine="567"/>
        <w:jc w:val="both"/>
        <w:rPr>
          <w:sz w:val="28"/>
          <w:szCs w:val="28"/>
          <w:lang w:val="uk-UA"/>
        </w:rPr>
      </w:pPr>
      <w:r>
        <w:rPr>
          <w:sz w:val="28"/>
          <w:szCs w:val="28"/>
          <w:lang w:val="uk-UA"/>
        </w:rPr>
        <w:t>6</w:t>
      </w:r>
      <w:r w:rsidRPr="0069766D">
        <w:rPr>
          <w:sz w:val="28"/>
          <w:szCs w:val="28"/>
          <w:lang w:val="uk-UA"/>
        </w:rPr>
        <w:t>.</w:t>
      </w:r>
      <w:r>
        <w:rPr>
          <w:sz w:val="28"/>
          <w:szCs w:val="28"/>
          <w:lang w:val="uk-UA"/>
        </w:rPr>
        <w:t> </w:t>
      </w:r>
      <w:r w:rsidRPr="0069766D">
        <w:rPr>
          <w:sz w:val="28"/>
          <w:szCs w:val="28"/>
          <w:lang w:val="uk-UA"/>
        </w:rPr>
        <w:t>Контроль за виконанням цього наказу залишаю за собою.</w:t>
      </w:r>
    </w:p>
    <w:p w:rsidR="005F1C86" w:rsidRDefault="005F1C86" w:rsidP="005F1C86">
      <w:pPr>
        <w:rPr>
          <w:sz w:val="28"/>
          <w:szCs w:val="28"/>
          <w:lang w:val="uk-UA"/>
        </w:rPr>
      </w:pPr>
    </w:p>
    <w:p w:rsidR="005F1C86" w:rsidRDefault="005F1C86" w:rsidP="005F1C86">
      <w:pPr>
        <w:rPr>
          <w:sz w:val="28"/>
          <w:szCs w:val="28"/>
          <w:lang w:val="uk-UA"/>
        </w:rPr>
      </w:pPr>
    </w:p>
    <w:p w:rsidR="005F1C86" w:rsidRPr="004E5856" w:rsidRDefault="005F1C86" w:rsidP="005F1C86">
      <w:pPr>
        <w:tabs>
          <w:tab w:val="left" w:pos="7110"/>
        </w:tabs>
        <w:suppressAutoHyphens/>
        <w:jc w:val="both"/>
        <w:rPr>
          <w:b/>
          <w:sz w:val="28"/>
          <w:szCs w:val="28"/>
          <w:lang w:val="uk-UA"/>
        </w:rPr>
      </w:pPr>
      <w:r>
        <w:rPr>
          <w:b/>
          <w:sz w:val="28"/>
          <w:szCs w:val="28"/>
          <w:lang w:val="uk-UA"/>
        </w:rPr>
        <w:t>Директор</w:t>
      </w:r>
      <w:r>
        <w:rPr>
          <w:b/>
          <w:sz w:val="28"/>
          <w:szCs w:val="28"/>
          <w:lang w:val="uk-UA"/>
        </w:rPr>
        <w:tab/>
      </w:r>
      <w:r w:rsidRPr="004E5856">
        <w:rPr>
          <w:b/>
          <w:sz w:val="28"/>
          <w:szCs w:val="28"/>
          <w:lang w:val="uk-UA"/>
        </w:rPr>
        <w:t>Вікторія ГРОБОВА</w:t>
      </w:r>
    </w:p>
    <w:p w:rsidR="005F1C86" w:rsidRDefault="005F1C86" w:rsidP="005F1C86">
      <w:pPr>
        <w:rPr>
          <w:sz w:val="28"/>
          <w:szCs w:val="28"/>
          <w:lang w:val="uk-UA"/>
        </w:rPr>
      </w:pPr>
    </w:p>
    <w:p w:rsidR="005F1C86" w:rsidRDefault="005F1C86" w:rsidP="005F1C86">
      <w:pPr>
        <w:rPr>
          <w:sz w:val="28"/>
          <w:szCs w:val="28"/>
          <w:lang w:val="uk-UA"/>
        </w:rPr>
      </w:pPr>
    </w:p>
    <w:p w:rsidR="005F1C86" w:rsidRDefault="005F1C86" w:rsidP="005F1C86">
      <w:pPr>
        <w:rPr>
          <w:lang w:val="uk-UA" w:eastAsia="uk-UA"/>
        </w:rPr>
      </w:pPr>
    </w:p>
    <w:p w:rsidR="00C161AD" w:rsidRDefault="00C161AD"/>
    <w:sectPr w:rsidR="00C161AD" w:rsidSect="005F1C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B9"/>
    <w:rsid w:val="001449B9"/>
    <w:rsid w:val="005F1C86"/>
    <w:rsid w:val="00B5045A"/>
    <w:rsid w:val="00C161AD"/>
    <w:rsid w:val="00D9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8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F1C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1C86"/>
    <w:rPr>
      <w:rFonts w:ascii="Arial" w:eastAsia="Times New Roman" w:hAnsi="Arial" w:cs="Arial"/>
      <w:b/>
      <w:bCs/>
      <w:sz w:val="26"/>
      <w:szCs w:val="26"/>
      <w:lang w:eastAsia="ru-RU"/>
    </w:rPr>
  </w:style>
  <w:style w:type="paragraph" w:styleId="a3">
    <w:name w:val="caption"/>
    <w:basedOn w:val="a"/>
    <w:next w:val="a"/>
    <w:qFormat/>
    <w:rsid w:val="005F1C86"/>
    <w:pPr>
      <w:snapToGrid w:val="0"/>
      <w:jc w:val="center"/>
    </w:pPr>
    <w:rPr>
      <w:rFonts w:ascii="Tahoma" w:hAnsi="Tahoma"/>
      <w:color w:val="000000"/>
      <w:szCs w:val="20"/>
      <w:lang w:val="uk-UA"/>
    </w:rPr>
  </w:style>
  <w:style w:type="character" w:customStyle="1" w:styleId="FontStyle11">
    <w:name w:val="Font Style11"/>
    <w:rsid w:val="005F1C86"/>
    <w:rPr>
      <w:rFonts w:ascii="Times New Roman" w:hAnsi="Times New Roman" w:cs="Times New Roman"/>
      <w:sz w:val="26"/>
      <w:szCs w:val="26"/>
    </w:rPr>
  </w:style>
  <w:style w:type="paragraph" w:customStyle="1" w:styleId="Default">
    <w:name w:val="Default"/>
    <w:rsid w:val="005F1C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8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F1C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1C86"/>
    <w:rPr>
      <w:rFonts w:ascii="Arial" w:eastAsia="Times New Roman" w:hAnsi="Arial" w:cs="Arial"/>
      <w:b/>
      <w:bCs/>
      <w:sz w:val="26"/>
      <w:szCs w:val="26"/>
      <w:lang w:eastAsia="ru-RU"/>
    </w:rPr>
  </w:style>
  <w:style w:type="paragraph" w:styleId="a3">
    <w:name w:val="caption"/>
    <w:basedOn w:val="a"/>
    <w:next w:val="a"/>
    <w:qFormat/>
    <w:rsid w:val="005F1C86"/>
    <w:pPr>
      <w:snapToGrid w:val="0"/>
      <w:jc w:val="center"/>
    </w:pPr>
    <w:rPr>
      <w:rFonts w:ascii="Tahoma" w:hAnsi="Tahoma"/>
      <w:color w:val="000000"/>
      <w:szCs w:val="20"/>
      <w:lang w:val="uk-UA"/>
    </w:rPr>
  </w:style>
  <w:style w:type="character" w:customStyle="1" w:styleId="FontStyle11">
    <w:name w:val="Font Style11"/>
    <w:rsid w:val="005F1C86"/>
    <w:rPr>
      <w:rFonts w:ascii="Times New Roman" w:hAnsi="Times New Roman" w:cs="Times New Roman"/>
      <w:sz w:val="26"/>
      <w:szCs w:val="26"/>
    </w:rPr>
  </w:style>
  <w:style w:type="paragraph" w:customStyle="1" w:styleId="Default">
    <w:name w:val="Default"/>
    <w:rsid w:val="005F1C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Windows</cp:lastModifiedBy>
  <cp:revision>5</cp:revision>
  <cp:lastPrinted>2022-07-08T07:13:00Z</cp:lastPrinted>
  <dcterms:created xsi:type="dcterms:W3CDTF">2022-07-06T12:34:00Z</dcterms:created>
  <dcterms:modified xsi:type="dcterms:W3CDTF">2022-07-28T11:36:00Z</dcterms:modified>
</cp:coreProperties>
</file>